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3"/>
        <w:gridCol w:w="5379"/>
        <w:gridCol w:w="1508"/>
        <w:gridCol w:w="1336"/>
        <w:tblGridChange w:id="0">
          <w:tblGrid>
            <w:gridCol w:w="1703"/>
            <w:gridCol w:w="5379"/>
            <w:gridCol w:w="1508"/>
            <w:gridCol w:w="1336"/>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18"/>
                <w:szCs w:val="18"/>
                <w:rtl w:val="0"/>
              </w:rPr>
              <w:t xml:space="preserve">Review: Annually, in February</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Term:</w:t>
              <w:br w:type="textWrapping"/>
            </w:r>
          </w:p>
          <w:p w:rsidR="00000000" w:rsidDel="00000000" w:rsidP="00000000" w:rsidRDefault="00000000" w:rsidRPr="00000000" w14:paraId="00000009">
            <w:pPr>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32"/>
                <w:szCs w:val="32"/>
                <w:rtl w:val="0"/>
              </w:rPr>
              <w:t xml:space="preserve">Compensation Guides &amp; Contracts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5.110</w:t>
            </w:r>
          </w:p>
        </w:tc>
        <w:tc>
          <w:tcPr/>
          <w:p w:rsidR="00000000" w:rsidDel="00000000" w:rsidP="00000000" w:rsidRDefault="00000000" w:rsidRPr="00000000" w14:paraId="0000000C">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ee0000"/>
                <w:sz w:val="20"/>
                <w:szCs w:val="20"/>
                <w:rtl w:val="0"/>
              </w:rPr>
              <w:t xml:space="preserve">09/08/26</w:t>
            </w:r>
            <w:r w:rsidDel="00000000" w:rsidR="00000000" w:rsidRPr="00000000">
              <w:rPr>
                <w:rtl w:val="0"/>
              </w:rPr>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5.110</w:t>
            </w:r>
          </w:p>
        </w:tc>
        <w:tc>
          <w:tcPr/>
          <w:p w:rsidR="00000000" w:rsidDel="00000000" w:rsidP="00000000" w:rsidRDefault="00000000" w:rsidRPr="00000000" w14:paraId="00000012">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09/02/25</w:t>
            </w:r>
          </w:p>
        </w:tc>
      </w:tr>
    </w:tbl>
    <w:bookmarkStart w:colFirst="0" w:colLast="0" w:name="bookmark=id.nru39rhcoof6"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All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Certified </w:t>
      </w:r>
      <w:r w:rsidDel="00000000" w:rsidR="00000000" w:rsidRPr="00000000">
        <w:rPr>
          <w:rFonts w:ascii="Times New Roman" w:cs="Times New Roman" w:eastAsia="Times New Roman" w:hAnsi="Times New Roman"/>
          <w:color w:val="000000"/>
          <w:sz w:val="24"/>
          <w:szCs w:val="24"/>
          <w:rtl w:val="0"/>
        </w:rPr>
        <w:t xml:space="preserve">personnel </w:t>
      </w:r>
      <w:r w:rsidDel="00000000" w:rsidR="00000000" w:rsidRPr="00000000">
        <w:rPr>
          <w:rFonts w:ascii="Times New Roman" w:cs="Times New Roman" w:eastAsia="Times New Roman" w:hAnsi="Times New Roman"/>
          <w:strike w:val="1"/>
          <w:color w:val="000000"/>
          <w:sz w:val="24"/>
          <w:szCs w:val="24"/>
          <w:rtl w:val="0"/>
        </w:rPr>
        <w:t xml:space="preserve">must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shall </w:t>
      </w:r>
      <w:r w:rsidDel="00000000" w:rsidR="00000000" w:rsidRPr="00000000">
        <w:rPr>
          <w:rFonts w:ascii="Times New Roman" w:cs="Times New Roman" w:eastAsia="Times New Roman" w:hAnsi="Times New Roman"/>
          <w:color w:val="000000"/>
          <w:sz w:val="24"/>
          <w:szCs w:val="24"/>
          <w:rtl w:val="0"/>
        </w:rPr>
        <w:t xml:space="preserve">make a written contract with the Board at a fixed salary per month before entering upon their duties.</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tl w:val="0"/>
        </w:rPr>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The Director of Schools shall establish the salary rating of each person employed and shall recommend such salary rating to the Board for its approval.</w:t>
      </w:r>
      <w:r w:rsidDel="00000000" w:rsidR="00000000" w:rsidRPr="00000000">
        <w:rPr>
          <w:rFonts w:ascii="Times New Roman" w:cs="Times New Roman" w:eastAsia="Times New Roman" w:hAnsi="Times New Roman"/>
          <w:color w:val="000000"/>
          <w:sz w:val="24"/>
          <w:szCs w:val="24"/>
          <w:vertAlign w:val="superscript"/>
          <w:rtl w:val="0"/>
        </w:rPr>
        <w:t xml:space="preserve">2</w:t>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Salaries of all employees, including substitute and supplemental pay, shall be paid by the Board. No payment to any employee for service performed on behalf of the school system shall be made from any source other than the Board.</w:t>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Contracts for administrators and system-wide professional personnel shall include two-hundred (200) days of responsibility, plus twenty (20) days for the eleven month employees. Twelve month employees shall work the full twelve months except for legal holidays and vacation earned.</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8">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Each contract shall provide:</w:t>
      </w:r>
      <w:r w:rsidDel="00000000" w:rsidR="00000000" w:rsidRPr="00000000">
        <w:rPr>
          <w:rFonts w:ascii="Times New Roman" w:cs="Times New Roman" w:eastAsia="Times New Roman" w:hAnsi="Times New Roman"/>
          <w:color w:val="000000"/>
          <w:sz w:val="24"/>
          <w:szCs w:val="24"/>
          <w:vertAlign w:val="superscript"/>
          <w:rtl w:val="0"/>
        </w:rPr>
        <w:t xml:space="preserve">3</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minimum of one hundred and eighty (180) working days; </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minimum of ﬁve (5) days for in-service education; </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Ten (10) vacation days; and </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Five (5) days as designated by the Board. (Teachers shall use one (1) day for parent-teacher conferences).</w:t>
      </w:r>
    </w:p>
    <w:p w:rsidR="00000000" w:rsidDel="00000000" w:rsidP="00000000" w:rsidRDefault="00000000" w:rsidRPr="00000000" w14:paraId="0000001D">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school calendar adopted by the Board each year shall become part of each employee's contract. </w:t>
      </w:r>
    </w:p>
    <w:p w:rsidR="00000000" w:rsidDel="00000000" w:rsidP="00000000" w:rsidRDefault="00000000" w:rsidRPr="00000000" w14:paraId="0000001E">
      <w:pPr>
        <w:spacing w:after="0" w:before="240" w:line="240" w:lineRule="auto"/>
        <w:jc w:val="both"/>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Salaries and supplements may be paid from revenue derived from sources other than taxes, provided the revenue is deposited with and salaries paid through the Board. This includes donations or contributions from individual, civic or other non-school related sources of funds from individual school activity funds, such as gate receipts and concessions.</w:t>
      </w:r>
      <w:r w:rsidDel="00000000" w:rsidR="00000000" w:rsidRPr="00000000">
        <w:rPr>
          <w:rFonts w:ascii="Times New Roman" w:cs="Times New Roman" w:eastAsia="Times New Roman" w:hAnsi="Times New Roman"/>
          <w:color w:val="000000"/>
          <w:sz w:val="24"/>
          <w:szCs w:val="24"/>
          <w:vertAlign w:val="superscript"/>
          <w:rtl w:val="0"/>
        </w:rPr>
        <w:t xml:space="preserve">1,4</w:t>
      </w:r>
    </w:p>
    <w:p w:rsidR="00000000" w:rsidDel="00000000" w:rsidP="00000000" w:rsidRDefault="00000000" w:rsidRPr="00000000" w14:paraId="0000001F">
      <w:pPr>
        <w:spacing w:after="0" w:before="240" w:line="240" w:lineRule="auto"/>
        <w:rPr>
          <w:rFonts w:ascii="Times New Roman" w:cs="Times New Roman" w:eastAsia="Times New Roman" w:hAnsi="Times New Roman"/>
          <w:b w:val="1"/>
          <w:bCs w:val="1"/>
          <w:color w:val="000000"/>
          <w:sz w:val="24"/>
          <w:szCs w:val="24"/>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Fonts w:ascii="Times New Roman" w:cs="Times New Roman" w:eastAsia="Times New Roman" w:hAnsi="Times New Roman"/>
          <w:b w:val="1"/>
          <w:bCs w:val="1"/>
          <w:color w:val="000000"/>
          <w:sz w:val="24"/>
          <w:szCs w:val="24"/>
          <w:rtl w:val="0"/>
        </w:rPr>
        <w:t xml:space="preserve">ACCRUED LEAVE &amp; BENEFICIARIES </w:t>
      </w:r>
    </w:p>
    <w:p w:rsidR="00000000" w:rsidDel="00000000" w:rsidP="00000000" w:rsidRDefault="00000000" w:rsidRPr="00000000" w14:paraId="00000020">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deceased </w:t>
      </w:r>
      <w:r w:rsidDel="00000000" w:rsidR="00000000" w:rsidRPr="00000000">
        <w:rPr>
          <w:rFonts w:ascii="Times New Roman" w:cs="Times New Roman" w:eastAsia="Times New Roman" w:hAnsi="Times New Roman"/>
          <w:strike w:val="1"/>
          <w:color w:val="000000"/>
          <w:sz w:val="24"/>
          <w:szCs w:val="24"/>
          <w:rtl w:val="0"/>
        </w:rPr>
        <w:t xml:space="preserve">teacher’s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employee’s </w:t>
      </w:r>
      <w:r w:rsidDel="00000000" w:rsidR="00000000" w:rsidRPr="00000000">
        <w:rPr>
          <w:rFonts w:ascii="Times New Roman" w:cs="Times New Roman" w:eastAsia="Times New Roman" w:hAnsi="Times New Roman"/>
          <w:color w:val="000000"/>
          <w:sz w:val="24"/>
          <w:szCs w:val="24"/>
          <w:rtl w:val="0"/>
        </w:rPr>
        <w:t xml:space="preserve">estate or designated beneficiary shall be paid the value of any unused accumulated leave. Unless an </w:t>
      </w:r>
      <w:r w:rsidDel="00000000" w:rsidR="00000000" w:rsidRPr="00000000">
        <w:rPr>
          <w:rFonts w:ascii="Times New Roman" w:cs="Times New Roman" w:eastAsia="Times New Roman" w:hAnsi="Times New Roman"/>
          <w:strike w:val="1"/>
          <w:color w:val="000000"/>
          <w:sz w:val="24"/>
          <w:szCs w:val="24"/>
          <w:rtl w:val="0"/>
        </w:rPr>
        <w:t xml:space="preserve">teacher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employee </w:t>
      </w:r>
      <w:r w:rsidDel="00000000" w:rsidR="00000000" w:rsidRPr="00000000">
        <w:rPr>
          <w:rFonts w:ascii="Times New Roman" w:cs="Times New Roman" w:eastAsia="Times New Roman" w:hAnsi="Times New Roman"/>
          <w:color w:val="000000"/>
          <w:sz w:val="24"/>
          <w:szCs w:val="24"/>
          <w:rtl w:val="0"/>
        </w:rPr>
        <w:t xml:space="preserve">designates differently, the beneficiary shall be the same as the beneficiary designed for receipt of retirement benefits with the Tennessee Consolidated Retirement System.</w:t>
      </w:r>
    </w:p>
    <w:tbl>
      <w:tblPr>
        <w:tblStyle w:val="Table2"/>
        <w:tblpPr w:leftFromText="180" w:rightFromText="180" w:topFromText="0" w:bottomFromText="0" w:vertAnchor="text" w:horzAnchor="text" w:tblpX="188.99999999999977" w:tblpY="899"/>
        <w:tblW w:w="955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16"/>
        <w:gridCol w:w="4442"/>
        <w:tblGridChange w:id="0">
          <w:tblGrid>
            <w:gridCol w:w="5116"/>
            <w:gridCol w:w="4442"/>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1">
            <w:pPr>
              <w:spacing w:before="240" w:lineRule="auto"/>
              <w:jc w:val="center"/>
              <w:rPr>
                <w:rFonts w:ascii="Times" w:cs="Times" w:eastAsia="Times" w:hAnsi="Times"/>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2">
            <w:pPr>
              <w:spacing w:before="240" w:lineRule="auto"/>
              <w:rPr>
                <w:rFonts w:ascii="Times" w:cs="Times" w:eastAsia="Times" w:hAnsi="Times"/>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3">
            <w:pPr>
              <w:spacing w:before="120" w:lineRule="auto"/>
              <w:ind w:right="720"/>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4">
            <w:pPr>
              <w:spacing w:before="12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Cross References</w:t>
            </w:r>
          </w:p>
        </w:tc>
      </w:tr>
      <w:tr>
        <w:trPr>
          <w:cantSplit w:val="0"/>
          <w:tblHeader w:val="0"/>
        </w:trPr>
        <w:tc>
          <w:tcPr/>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49-2-203(a)(1)</w:t>
              </w:r>
            </w:hyperlink>
            <w:r w:rsidDel="00000000" w:rsidR="00000000" w:rsidRPr="00000000">
              <w:rPr>
                <w:rFonts w:ascii="Times" w:cs="Times" w:eastAsia="Times" w:hAnsi="Times"/>
                <w:b w:val="0"/>
                <w:bCs w:val="0"/>
                <w:i w:val="0"/>
                <w:iCs w:val="0"/>
                <w:smallCaps w:val="0"/>
                <w:strike w:val="0"/>
                <w:color w:val="000000"/>
                <w:sz w:val="18"/>
                <w:szCs w:val="18"/>
                <w:u w:val="none"/>
                <w:shd w:fill="auto" w:val="clear"/>
                <w:vertAlign w:val="baseline"/>
                <w:rtl w:val="0"/>
              </w:rPr>
              <w:t xml:space="preserve">; </w:t>
            </w:r>
            <w:hyperlink r:id="rId11">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49-5-408</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2">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49-5-402</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3">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49-6-3004</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4">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49-6-2006(a)</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Times" w:cs="Times" w:eastAsia="Times" w:hAnsi="Times"/>
                <w:b w:val="0"/>
                <w:bCs w:val="0"/>
                <w:i w:val="0"/>
                <w:iCs w:val="0"/>
                <w:smallCaps w:val="0"/>
                <w:strike w:val="0"/>
                <w:color w:val="ee0000"/>
                <w:sz w:val="18"/>
                <w:szCs w:val="18"/>
                <w:u w:val="none"/>
                <w:shd w:fill="auto" w:val="clear"/>
                <w:vertAlign w:val="baseline"/>
              </w:rPr>
            </w:pPr>
            <w:hyperlink r:id="rId15">
              <w:r w:rsidDel="00000000" w:rsidR="00000000" w:rsidRPr="00000000">
                <w:rPr>
                  <w:rFonts w:ascii="Times" w:cs="Times" w:eastAsia="Times" w:hAnsi="Times"/>
                  <w:b w:val="0"/>
                  <w:bCs w:val="0"/>
                  <w:i w:val="0"/>
                  <w:iCs w:val="0"/>
                  <w:smallCaps w:val="0"/>
                  <w:strike w:val="0"/>
                  <w:color w:val="ee0000"/>
                  <w:sz w:val="18"/>
                  <w:szCs w:val="18"/>
                  <w:u w:val="single"/>
                  <w:shd w:fill="auto" w:val="clear"/>
                  <w:vertAlign w:val="baseline"/>
                  <w:rtl w:val="0"/>
                </w:rPr>
                <w:t xml:space="preserve">TCA 49-5-717</w:t>
              </w:r>
            </w:hyperlink>
            <w:r w:rsidDel="00000000" w:rsidR="00000000" w:rsidRPr="00000000">
              <w:rPr>
                <w:rFonts w:ascii="Times" w:cs="Times" w:eastAsia="Times" w:hAnsi="Times"/>
                <w:b w:val="0"/>
                <w:bCs w:val="0"/>
                <w:i w:val="0"/>
                <w:iCs w:val="0"/>
                <w:smallCaps w:val="0"/>
                <w:strike w:val="0"/>
                <w:color w:val="ee0000"/>
                <w:sz w:val="18"/>
                <w:szCs w:val="18"/>
                <w:u w:val="none"/>
                <w:shd w:fill="auto" w:val="clear"/>
                <w:vertAlign w:val="baseline"/>
                <w:rtl w:val="0"/>
              </w:rPr>
              <w:t xml:space="preserve">; </w:t>
            </w:r>
            <w:hyperlink r:id="rId16">
              <w:r w:rsidDel="00000000" w:rsidR="00000000" w:rsidRPr="00000000">
                <w:rPr>
                  <w:rFonts w:ascii="Times" w:cs="Times" w:eastAsia="Times" w:hAnsi="Times"/>
                  <w:b w:val="0"/>
                  <w:bCs w:val="0"/>
                  <w:i w:val="0"/>
                  <w:iCs w:val="0"/>
                  <w:smallCaps w:val="0"/>
                  <w:strike w:val="0"/>
                  <w:color w:val="ee0000"/>
                  <w:sz w:val="18"/>
                  <w:szCs w:val="18"/>
                  <w:u w:val="single"/>
                  <w:shd w:fill="auto" w:val="clear"/>
                  <w:vertAlign w:val="baseline"/>
                  <w:rtl w:val="0"/>
                </w:rPr>
                <w:t xml:space="preserve">Public Acts of 2026, Chapter No. 909</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1"/>
                <w:color w:val="000000"/>
                <w:sz w:val="18"/>
                <w:szCs w:val="18"/>
                <w:u w:val="none"/>
                <w:shd w:fill="auto" w:val="clear"/>
                <w:vertAlign w:val="baseline"/>
              </w:rPr>
            </w:pPr>
            <w:hyperlink r:id="rId17">
              <w:r w:rsidDel="00000000" w:rsidR="00000000" w:rsidRPr="00000000">
                <w:rPr>
                  <w:rFonts w:ascii="Times New Roman" w:cs="Times New Roman" w:eastAsia="Times New Roman" w:hAnsi="Times New Roman"/>
                  <w:b w:val="0"/>
                  <w:bCs w:val="0"/>
                  <w:i w:val="0"/>
                  <w:iCs w:val="0"/>
                  <w:smallCaps w:val="0"/>
                  <w:strike w:val="1"/>
                  <w:color w:val="0000ff"/>
                  <w:sz w:val="18"/>
                  <w:szCs w:val="18"/>
                  <w:u w:val="single"/>
                  <w:shd w:fill="auto" w:val="clear"/>
                  <w:vertAlign w:val="baseline"/>
                  <w:rtl w:val="0"/>
                </w:rPr>
                <w:t xml:space="preserve">Public Acts of 2025, Chapter No. 433</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720" w:firstLine="0"/>
              <w:jc w:val="left"/>
              <w:rPr>
                <w:rFonts w:ascii="Times" w:cs="Times" w:eastAsia="Times" w:hAnsi="Times"/>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C">
            <w:pPr>
              <w:spacing w:before="24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School Calendar  1.800</w:t>
              <w:br w:type="textWrapping"/>
              <w:t xml:space="preserve">Revenues 2.400</w:t>
              <w:br w:type="textWrapping"/>
              <w:t xml:space="preserve">Payroll  2.802</w:t>
              <w:br w:type="textWrapping"/>
              <w:t xml:space="preserve">Application and Employment 5.106</w:t>
            </w:r>
          </w:p>
        </w:tc>
      </w:tr>
    </w:tbl>
    <w:p w:rsidR="00000000" w:rsidDel="00000000" w:rsidP="00000000" w:rsidRDefault="00000000" w:rsidRPr="00000000" w14:paraId="0000002D">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Compensation Guides &amp; Contracts</w:t>
      <w:tab/>
      <w:tab/>
      <w:t xml:space="preserve">5.110</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legal.tsba.net/state-statutes/t-c-a-%C2%A7-49-5-408-teachers-contracts" TargetMode="External"/><Relationship Id="rId10" Type="http://schemas.openxmlformats.org/officeDocument/2006/relationships/hyperlink" Target="https://legal.tsba.net/state-statutes/t-c-a-%C2%A7-49-2-203-duties-and-powers" TargetMode="External"/><Relationship Id="rId13" Type="http://schemas.openxmlformats.org/officeDocument/2006/relationships/hyperlink" Target="https://legal.tsba.net/state-statutes/t-c-a-%C2%A7-49-6-3004-school-term" TargetMode="External"/><Relationship Id="rId12" Type="http://schemas.openxmlformats.org/officeDocument/2006/relationships/hyperlink" Target="https://legal.tsba.net/state-statutes/t-c-a-%C2%A7-49-5-402-salary-rating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hyperlink" Target="https://legal.tsba.net/state-statutes/t-c-a-%c2%a7-49-5-717-compensation-to-estate-of-deceased-teacher-unused-leave-beneficiary-designation" TargetMode="External"/><Relationship Id="rId14" Type="http://schemas.openxmlformats.org/officeDocument/2006/relationships/hyperlink" Target="https://legal.tsba.net/state-statutes/t-c-a-%C2%A7-%C2%A7-49-6-2006-acquisition-and-disposition-of-property-board-of-education" TargetMode="External"/><Relationship Id="rId17" Type="http://schemas.openxmlformats.org/officeDocument/2006/relationships/hyperlink" Target="https://publications.tnsosfiles.com/acts/114/pub/pc0433.pdf" TargetMode="External"/><Relationship Id="rId16" Type="http://schemas.openxmlformats.org/officeDocument/2006/relationships/hyperlink" Target="https://publications.tnsosfiles.com/acts/114/pub/pc0909.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f+/MFnxkoMkGh3n1+tXX8C3Cw==">CgMxLjAyD2lkLm5ydTM5cmhjb29mNjgAciExSVg0SV9Nd1QydXE5cTVfWDE5WGdIaDBEZThRS1ZsU2s=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lpwstr>5336300</vt:lpwstr>
  </property>
  <property fmtid="{D5CDD505-2E9C-101B-9397-08002B2CF9AE}" pid="5" name="_SourceUrl">
    <vt:lpwstr>_SourceUrl</vt:lpwstr>
  </property>
  <property fmtid="{D5CDD505-2E9C-101B-9397-08002B2CF9AE}" pid="6" name="_SharedFileIndex">
    <vt:lpwstr>_SharedFileIndex</vt:lpwstr>
  </property>
  <property fmtid="{D5CDD505-2E9C-101B-9397-08002B2CF9AE}" pid="7" name="ComplianceAssetId">
    <vt:lpwstr>ComplianceAssetId</vt:lpwstr>
  </property>
  <property fmtid="{D5CDD505-2E9C-101B-9397-08002B2CF9AE}" pid="8" name="_activity">
    <vt:lpwstr>{"FileActivityType":"9","FileActivityTimeStamp":"2026-05-09T03:20:03.840Z","FileActivityUsersOnPage":[{"DisplayName":"KBSAdmin","Id":"kbsadmin@tsba.net"}],"FileActivityNavigationId":null}</vt:lpwstr>
  </property>
  <property fmtid="{D5CDD505-2E9C-101B-9397-08002B2CF9AE}" pid="9" name="_ExtendedDescription">
    <vt:lpwstr>_ExtendedDescription</vt:lpwstr>
  </property>
  <property fmtid="{D5CDD505-2E9C-101B-9397-08002B2CF9AE}" pid="10" name="TriggerFlowInfo">
    <vt:lpwstr>TriggerFlowInfo</vt:lpwstr>
  </property>
</Properties>
</file>